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CB28" w14:textId="77777777" w:rsidR="00D34316" w:rsidRDefault="00AA7472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Praxis</w:t>
      </w:r>
      <w:r>
        <w:rPr>
          <w:b/>
          <w:sz w:val="28"/>
          <w:szCs w:val="28"/>
          <w:vertAlign w:val="superscript"/>
        </w:rPr>
        <w:t>®</w:t>
      </w:r>
      <w:r>
        <w:rPr>
          <w:b/>
          <w:sz w:val="28"/>
          <w:szCs w:val="28"/>
        </w:rPr>
        <w:t xml:space="preserve"> Performance Assessment for Teachers (PPAT)</w:t>
      </w:r>
    </w:p>
    <w:p w14:paraId="744F95F2" w14:textId="77777777" w:rsidR="00D34316" w:rsidRDefault="00AA747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sz w:val="24"/>
          <w:szCs w:val="24"/>
        </w:rPr>
      </w:pPr>
      <w:bookmarkStart w:id="0" w:name="_xqftzooiiq77" w:colFirst="0" w:colLast="0"/>
      <w:bookmarkEnd w:id="0"/>
      <w:r>
        <w:rPr>
          <w:b/>
          <w:sz w:val="24"/>
          <w:szCs w:val="24"/>
        </w:rPr>
        <w:t>Task 1 Instructional and Support Resources Chart</w:t>
      </w:r>
    </w:p>
    <w:p w14:paraId="2C384BA4" w14:textId="77777777" w:rsidR="00D34316" w:rsidRDefault="00AA7472">
      <w:pPr>
        <w:pBdr>
          <w:top w:val="nil"/>
          <w:left w:val="nil"/>
          <w:bottom w:val="nil"/>
          <w:right w:val="nil"/>
          <w:between w:val="nil"/>
        </w:pBdr>
      </w:pPr>
      <w:r>
        <w:t>A wide range of services and resources are available within a school system to support instruction. This chart allows you to become familiar with what is available to you within your teaching context. Complete the chart by listing available instructional m</w:t>
      </w:r>
      <w:r>
        <w:t>aterials and resources.</w:t>
      </w:r>
    </w:p>
    <w:p w14:paraId="06BAAD9F" w14:textId="77777777" w:rsidR="00D34316" w:rsidRDefault="00D34316">
      <w:pPr>
        <w:pBdr>
          <w:top w:val="nil"/>
          <w:left w:val="nil"/>
          <w:bottom w:val="nil"/>
          <w:right w:val="nil"/>
          <w:between w:val="nil"/>
        </w:pBdr>
      </w:pPr>
    </w:p>
    <w:p w14:paraId="42A35479" w14:textId="77777777" w:rsidR="00D34316" w:rsidRDefault="00AA7472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yellow"/>
        </w:rPr>
      </w:pPr>
      <w:r>
        <w:rPr>
          <w:b/>
          <w:highlight w:val="yellow"/>
        </w:rPr>
        <w:t xml:space="preserve">You </w:t>
      </w:r>
      <w:r>
        <w:rPr>
          <w:b/>
          <w:highlight w:val="yellow"/>
          <w:u w:val="single"/>
        </w:rPr>
        <w:t>must</w:t>
      </w:r>
      <w:r>
        <w:rPr>
          <w:b/>
          <w:highlight w:val="yellow"/>
        </w:rPr>
        <w:t xml:space="preserve"> attach this document as an artifact in response textbox 1.2.1</w:t>
      </w:r>
    </w:p>
    <w:p w14:paraId="0EEC8A24" w14:textId="77777777" w:rsidR="00D34316" w:rsidRDefault="00D3431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6075"/>
      </w:tblGrid>
      <w:tr w:rsidR="00D34316" w14:paraId="10EA5692" w14:textId="77777777">
        <w:tc>
          <w:tcPr>
            <w:tcW w:w="328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34F0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Type of Resource</w:t>
            </w:r>
          </w:p>
        </w:tc>
        <w:tc>
          <w:tcPr>
            <w:tcW w:w="607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94F4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One Example and Location</w:t>
            </w:r>
          </w:p>
        </w:tc>
      </w:tr>
      <w:tr w:rsidR="00D34316" w14:paraId="1DD274F0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D152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</w:t>
            </w:r>
          </w:p>
          <w:p w14:paraId="0BF5E5B3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AC43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4316" w14:paraId="36905F77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D290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Building/District Policies or Programs</w:t>
            </w:r>
          </w:p>
          <w:p w14:paraId="0B869AB5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D4AA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4316" w14:paraId="0F02B75B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2CAC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Staff</w:t>
            </w:r>
          </w:p>
          <w:p w14:paraId="50DDB786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5EE1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4316" w14:paraId="020BF42A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DAD3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Instructional Materials</w:t>
            </w:r>
          </w:p>
          <w:p w14:paraId="3117B668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8108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4316" w14:paraId="39DA05A0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A43C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Curricular Programs</w:t>
            </w:r>
          </w:p>
          <w:p w14:paraId="3D835563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7B4C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4316" w14:paraId="4FAD5983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9E11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Instructional Technology</w:t>
            </w:r>
          </w:p>
          <w:p w14:paraId="0ABAF54E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6004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4316" w14:paraId="265E4F8F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CB2F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 to Recorded Student Data</w:t>
            </w:r>
          </w:p>
          <w:p w14:paraId="3832A6B0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74E6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4316" w14:paraId="3884EFD0" w14:textId="77777777"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D6AD" w14:textId="77777777" w:rsidR="00D34316" w:rsidRDefault="00AA7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  <w:p w14:paraId="391E6764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382D" w14:textId="77777777" w:rsidR="00D34316" w:rsidRDefault="00D3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EF0D3C1" w14:textId="77777777" w:rsidR="00D34316" w:rsidRDefault="00D34316">
      <w:pPr>
        <w:pBdr>
          <w:top w:val="nil"/>
          <w:left w:val="nil"/>
          <w:bottom w:val="nil"/>
          <w:right w:val="nil"/>
          <w:between w:val="nil"/>
        </w:pBdr>
      </w:pPr>
    </w:p>
    <w:p w14:paraId="57F8811B" w14:textId="77777777" w:rsidR="00D34316" w:rsidRDefault="00D34316">
      <w:pPr>
        <w:pBdr>
          <w:top w:val="nil"/>
          <w:left w:val="nil"/>
          <w:bottom w:val="nil"/>
          <w:right w:val="nil"/>
          <w:between w:val="nil"/>
        </w:pBdr>
      </w:pPr>
    </w:p>
    <w:sectPr w:rsidR="00D34316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16"/>
    <w:rsid w:val="001E6031"/>
    <w:rsid w:val="00AA7472"/>
    <w:rsid w:val="00D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B810A"/>
  <w15:docId w15:val="{640B7F4F-36AF-4AAD-9ED6-C658B33F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Black Hills State University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2020-01-27T20:26:00Z</dcterms:created>
</cp:coreProperties>
</file>